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1F" w:rsidRDefault="00374B1F" w:rsidP="00374B1F">
      <w:pPr>
        <w:ind w:left="-360"/>
        <w:jc w:val="center"/>
        <w:rPr>
          <w:rFonts w:ascii="Lucida Sans" w:eastAsia="Calibri,Bold" w:hAnsi="Lucida Sans" w:cs="Lucida Sans"/>
          <w:b/>
          <w:bCs/>
          <w:color w:val="003366"/>
          <w:sz w:val="36"/>
          <w:szCs w:val="36"/>
          <w:lang w:val="en-GB" w:eastAsia="zh-TW"/>
        </w:rPr>
      </w:pPr>
      <w:r>
        <w:rPr>
          <w:rFonts w:ascii="Lucida Sans" w:eastAsia="Calibri,Bold" w:hAnsi="Lucida Sans" w:cs="Lucida Sans"/>
          <w:b/>
          <w:bCs/>
          <w:color w:val="003366"/>
          <w:sz w:val="36"/>
          <w:szCs w:val="36"/>
          <w:lang w:val="en-GB" w:eastAsia="zh-TW"/>
        </w:rPr>
        <w:t xml:space="preserve">Looking Back on 2011 </w:t>
      </w:r>
    </w:p>
    <w:p w:rsidR="00374B1F" w:rsidRDefault="00374B1F" w:rsidP="00374B1F">
      <w:pPr>
        <w:ind w:left="-360"/>
        <w:jc w:val="center"/>
        <w:rPr>
          <w:rFonts w:ascii="Lucida Sans" w:eastAsia="Calibri,Bold" w:hAnsi="Lucida Sans" w:cs="Lucida Sans"/>
          <w:b/>
          <w:bCs/>
          <w:color w:val="003366"/>
          <w:sz w:val="22"/>
          <w:szCs w:val="22"/>
          <w:lang w:val="en-GB" w:eastAsia="zh-TW"/>
        </w:rPr>
      </w:pPr>
      <w:r>
        <w:rPr>
          <w:rFonts w:ascii="Lucida Sans" w:eastAsia="Calibri,Bold" w:hAnsi="Lucida Sans" w:cs="Lucida Sans"/>
          <w:b/>
          <w:bCs/>
          <w:color w:val="003366"/>
          <w:sz w:val="22"/>
          <w:szCs w:val="22"/>
          <w:lang w:val="en-GB" w:eastAsia="zh-TW"/>
        </w:rPr>
        <w:t xml:space="preserve">A </w:t>
      </w:r>
      <w:proofErr w:type="spellStart"/>
      <w:r>
        <w:rPr>
          <w:rFonts w:ascii="Lucida Sans" w:eastAsia="Calibri,Bold" w:hAnsi="Lucida Sans" w:cs="Lucida Sans"/>
          <w:b/>
          <w:bCs/>
          <w:color w:val="003366"/>
          <w:sz w:val="22"/>
          <w:szCs w:val="22"/>
          <w:lang w:val="en-GB" w:eastAsia="zh-TW"/>
        </w:rPr>
        <w:t>Wibbly</w:t>
      </w:r>
      <w:proofErr w:type="spellEnd"/>
      <w:r>
        <w:rPr>
          <w:rFonts w:ascii="Lucida Sans" w:eastAsia="Calibri,Bold" w:hAnsi="Lucida Sans" w:cs="Lucida Sans"/>
          <w:b/>
          <w:bCs/>
          <w:color w:val="003366"/>
          <w:sz w:val="22"/>
          <w:szCs w:val="22"/>
          <w:lang w:val="en-GB" w:eastAsia="zh-TW"/>
        </w:rPr>
        <w:t xml:space="preserve"> Wobbly Year</w:t>
      </w:r>
    </w:p>
    <w:p w:rsidR="00374B1F" w:rsidRDefault="00374B1F" w:rsidP="00374B1F">
      <w:pPr>
        <w:ind w:left="-360"/>
        <w:jc w:val="both"/>
        <w:rPr>
          <w:rFonts w:ascii="Lucida Sans" w:eastAsia="Calibri,Bold" w:hAnsi="Lucida Sans" w:cs="Lucida Sans"/>
          <w:b/>
          <w:bCs/>
          <w:color w:val="003366"/>
          <w:lang w:val="en-GB" w:eastAsia="zh-TW"/>
        </w:rPr>
      </w:pPr>
    </w:p>
    <w:p w:rsidR="00374B1F" w:rsidRPr="00374B1F" w:rsidRDefault="00374B1F" w:rsidP="00374B1F">
      <w:pPr>
        <w:ind w:left="-360"/>
        <w:rPr>
          <w:rFonts w:ascii="Calibri" w:eastAsia="PMingLiU" w:hAnsi="Calibri" w:cs="Calibri"/>
          <w:color w:val="003366"/>
          <w:sz w:val="22"/>
          <w:szCs w:val="22"/>
          <w:lang w:val="en-GB" w:eastAsia="zh-TW"/>
        </w:rPr>
      </w:pPr>
      <w:bookmarkStart w:id="0" w:name="_GoBack"/>
      <w:r w:rsidRPr="00374B1F">
        <w:rPr>
          <w:rFonts w:ascii="Calibri" w:eastAsia="PMingLiU" w:hAnsi="Calibri" w:cs="Calibri"/>
          <w:color w:val="003366"/>
          <w:sz w:val="22"/>
          <w:szCs w:val="22"/>
          <w:lang w:val="en-GB" w:eastAsia="zh-TW"/>
        </w:rPr>
        <w:t xml:space="preserve">2011 was certainly a strange year, starting with a glimmer that the worldwide recession of the previous few years might be receding into history. Unfortunately, as we all know, the year ended with uncertainty. </w:t>
      </w:r>
    </w:p>
    <w:p w:rsidR="00374B1F" w:rsidRPr="00374B1F" w:rsidRDefault="00374B1F" w:rsidP="00374B1F">
      <w:pPr>
        <w:ind w:left="-360"/>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 xml:space="preserve">As Dr Who might </w:t>
      </w:r>
      <w:proofErr w:type="gramStart"/>
      <w:r w:rsidRPr="00374B1F">
        <w:rPr>
          <w:rFonts w:ascii="Calibri" w:eastAsia="PMingLiU" w:hAnsi="Calibri" w:cs="Calibri"/>
          <w:color w:val="003366"/>
          <w:sz w:val="22"/>
          <w:szCs w:val="22"/>
          <w:lang w:val="en-GB" w:eastAsia="zh-TW"/>
        </w:rPr>
        <w:t>say,</w:t>
      </w:r>
      <w:proofErr w:type="gramEnd"/>
      <w:r w:rsidRPr="00374B1F">
        <w:rPr>
          <w:rFonts w:ascii="Calibri" w:eastAsia="PMingLiU" w:hAnsi="Calibri" w:cs="Calibri"/>
          <w:color w:val="003366"/>
          <w:sz w:val="22"/>
          <w:szCs w:val="22"/>
          <w:lang w:val="en-GB" w:eastAsia="zh-TW"/>
        </w:rPr>
        <w:t xml:space="preserve"> a ‘</w:t>
      </w:r>
      <w:proofErr w:type="spellStart"/>
      <w:r w:rsidRPr="00374B1F">
        <w:rPr>
          <w:rFonts w:ascii="Calibri" w:eastAsia="PMingLiU" w:hAnsi="Calibri" w:cs="Calibri"/>
          <w:color w:val="003366"/>
          <w:sz w:val="22"/>
          <w:szCs w:val="22"/>
          <w:lang w:val="en-GB" w:eastAsia="zh-TW"/>
        </w:rPr>
        <w:t>Wibbly</w:t>
      </w:r>
      <w:proofErr w:type="spellEnd"/>
      <w:r w:rsidRPr="00374B1F">
        <w:rPr>
          <w:rFonts w:ascii="Calibri" w:eastAsia="PMingLiU" w:hAnsi="Calibri" w:cs="Calibri"/>
          <w:color w:val="003366"/>
          <w:sz w:val="22"/>
          <w:szCs w:val="22"/>
          <w:lang w:val="en-GB" w:eastAsia="zh-TW"/>
        </w:rPr>
        <w:t xml:space="preserve"> wobbly, timey </w:t>
      </w:r>
      <w:proofErr w:type="spellStart"/>
      <w:r w:rsidRPr="00374B1F">
        <w:rPr>
          <w:rFonts w:ascii="Calibri" w:eastAsia="PMingLiU" w:hAnsi="Calibri" w:cs="Calibri"/>
          <w:color w:val="003366"/>
          <w:sz w:val="22"/>
          <w:szCs w:val="22"/>
          <w:lang w:val="en-GB" w:eastAsia="zh-TW"/>
        </w:rPr>
        <w:t>wimey</w:t>
      </w:r>
      <w:proofErr w:type="spellEnd"/>
      <w:r w:rsidRPr="00374B1F">
        <w:rPr>
          <w:rFonts w:ascii="Calibri" w:eastAsia="PMingLiU" w:hAnsi="Calibri" w:cs="Calibri"/>
          <w:color w:val="003366"/>
          <w:sz w:val="22"/>
          <w:szCs w:val="22"/>
          <w:lang w:val="en-GB" w:eastAsia="zh-TW"/>
        </w:rPr>
        <w:t>’ kind of year.</w:t>
      </w:r>
    </w:p>
    <w:p w:rsidR="00374B1F" w:rsidRPr="00374B1F" w:rsidRDefault="00374B1F" w:rsidP="00374B1F">
      <w:pPr>
        <w:ind w:left="-360"/>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 xml:space="preserve">However let’s take a quick look back and see what 2011 brought to the world of Legal Finance and </w:t>
      </w:r>
      <w:proofErr w:type="gramStart"/>
      <w:r w:rsidRPr="00374B1F">
        <w:rPr>
          <w:rFonts w:ascii="Calibri" w:eastAsia="PMingLiU" w:hAnsi="Calibri" w:cs="Calibri"/>
          <w:color w:val="003366"/>
          <w:sz w:val="22"/>
          <w:szCs w:val="22"/>
          <w:lang w:val="en-GB" w:eastAsia="zh-TW"/>
        </w:rPr>
        <w:t>IT ...</w:t>
      </w:r>
      <w:proofErr w:type="gramEnd"/>
    </w:p>
    <w:bookmarkEnd w:id="0"/>
    <w:p w:rsidR="00BF4767" w:rsidRDefault="00BF4767" w:rsidP="00374B1F">
      <w:pPr>
        <w:ind w:left="-360"/>
        <w:jc w:val="both"/>
        <w:rPr>
          <w:rFonts w:ascii="Calibri" w:eastAsia="PMingLiU" w:hAnsi="Calibri" w:cs="Calibri"/>
          <w:b/>
          <w:bCs/>
          <w:color w:val="003366"/>
          <w:sz w:val="22"/>
          <w:szCs w:val="22"/>
          <w:lang w:val="en-GB" w:eastAsia="zh-TW"/>
        </w:rPr>
      </w:pPr>
    </w:p>
    <w:p w:rsidR="00BF4767" w:rsidRDefault="00374B1F" w:rsidP="00374B1F">
      <w:pPr>
        <w:ind w:left="-360"/>
        <w:jc w:val="both"/>
        <w:rPr>
          <w:rFonts w:ascii="Calibri" w:eastAsia="PMingLiU" w:hAnsi="Calibri" w:cs="Calibri"/>
          <w:b/>
          <w:bCs/>
          <w:color w:val="003366"/>
          <w:sz w:val="22"/>
          <w:szCs w:val="22"/>
          <w:lang w:val="en-GB" w:eastAsia="zh-TW"/>
        </w:rPr>
      </w:pPr>
      <w:proofErr w:type="gramStart"/>
      <w:r w:rsidRPr="00374B1F">
        <w:rPr>
          <w:rFonts w:ascii="Calibri" w:eastAsia="PMingLiU" w:hAnsi="Calibri" w:cs="Calibri"/>
          <w:b/>
          <w:bCs/>
          <w:color w:val="003366"/>
          <w:sz w:val="22"/>
          <w:szCs w:val="22"/>
          <w:lang w:val="en-GB" w:eastAsia="zh-TW"/>
        </w:rPr>
        <w:t>Supplier Consolidation.</w:t>
      </w:r>
      <w:proofErr w:type="gramEnd"/>
      <w:r>
        <w:rPr>
          <w:rFonts w:ascii="Calibri" w:eastAsia="PMingLiU" w:hAnsi="Calibri" w:cs="Calibri"/>
          <w:b/>
          <w:bCs/>
          <w:color w:val="003366"/>
          <w:sz w:val="22"/>
          <w:szCs w:val="22"/>
          <w:lang w:val="en-GB" w:eastAsia="zh-TW"/>
        </w:rPr>
        <w:t xml:space="preserve"> </w:t>
      </w:r>
    </w:p>
    <w:p w:rsidR="00374B1F" w:rsidRPr="00BF4767" w:rsidRDefault="00BF4767" w:rsidP="00BF4767">
      <w:pPr>
        <w:ind w:left="-360"/>
        <w:jc w:val="both"/>
        <w:rPr>
          <w:rFonts w:ascii="Calibri" w:eastAsia="PMingLiU" w:hAnsi="Calibri" w:cs="Calibri"/>
          <w:b/>
          <w:bCs/>
          <w:color w:val="003366"/>
          <w:sz w:val="22"/>
          <w:szCs w:val="22"/>
          <w:lang w:val="en-GB" w:eastAsia="zh-TW"/>
        </w:rPr>
      </w:pPr>
      <w:r>
        <w:rPr>
          <w:rFonts w:ascii="Calibri" w:eastAsia="PMingLiU" w:hAnsi="Calibri" w:cs="Calibri"/>
          <w:b/>
          <w:bCs/>
          <w:noProof/>
          <w:color w:val="003366"/>
          <w:sz w:val="22"/>
          <w:szCs w:val="22"/>
          <w:lang w:val="en-GB" w:eastAsia="en-GB" w:bidi="ar-SA"/>
        </w:rPr>
        <w:drawing>
          <wp:anchor distT="0" distB="0" distL="114300" distR="114300" simplePos="0" relativeHeight="251658240" behindDoc="1" locked="0" layoutInCell="1" allowOverlap="1">
            <wp:simplePos x="0" y="0"/>
            <wp:positionH relativeFrom="column">
              <wp:posOffset>-209550</wp:posOffset>
            </wp:positionH>
            <wp:positionV relativeFrom="paragraph">
              <wp:posOffset>78740</wp:posOffset>
            </wp:positionV>
            <wp:extent cx="1943100" cy="1295400"/>
            <wp:effectExtent l="19050" t="0" r="0" b="0"/>
            <wp:wrapTight wrapText="bothSides">
              <wp:wrapPolygon edited="0">
                <wp:start x="-212" y="0"/>
                <wp:lineTo x="-212" y="21282"/>
                <wp:lineTo x="21600" y="21282"/>
                <wp:lineTo x="21600" y="0"/>
                <wp:lineTo x="-212" y="0"/>
              </wp:wrapPolygon>
            </wp:wrapTight>
            <wp:docPr id="3" name="Picture 2" descr="harv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st.png"/>
                    <pic:cNvPicPr/>
                  </pic:nvPicPr>
                  <pic:blipFill>
                    <a:blip r:embed="rId7" cstate="print"/>
                    <a:stretch>
                      <a:fillRect/>
                    </a:stretch>
                  </pic:blipFill>
                  <pic:spPr>
                    <a:xfrm>
                      <a:off x="0" y="0"/>
                      <a:ext cx="1943100" cy="1295400"/>
                    </a:xfrm>
                    <a:prstGeom prst="rect">
                      <a:avLst/>
                    </a:prstGeom>
                  </pic:spPr>
                </pic:pic>
              </a:graphicData>
            </a:graphic>
          </wp:anchor>
        </w:drawing>
      </w:r>
      <w:r w:rsidR="00374B1F" w:rsidRPr="00374B1F">
        <w:rPr>
          <w:rFonts w:ascii="Calibri" w:eastAsia="PMingLiU" w:hAnsi="Calibri" w:cs="Calibri"/>
          <w:color w:val="003366"/>
          <w:sz w:val="22"/>
          <w:szCs w:val="22"/>
          <w:lang w:val="en-GB" w:eastAsia="zh-TW"/>
        </w:rPr>
        <w:t xml:space="preserve">Within the Practice and Matter management arena, the year ended with a series of consolidations with Elite/Thomson </w:t>
      </w:r>
      <w:proofErr w:type="spellStart"/>
      <w:r w:rsidR="00374B1F" w:rsidRPr="00374B1F">
        <w:rPr>
          <w:rFonts w:ascii="Calibri" w:eastAsia="PMingLiU" w:hAnsi="Calibri" w:cs="Calibri"/>
          <w:color w:val="003366"/>
          <w:sz w:val="22"/>
          <w:szCs w:val="22"/>
          <w:lang w:val="en-GB" w:eastAsia="zh-TW"/>
        </w:rPr>
        <w:t>Rueters</w:t>
      </w:r>
      <w:proofErr w:type="spellEnd"/>
      <w:r w:rsidR="00374B1F" w:rsidRPr="00374B1F">
        <w:rPr>
          <w:rFonts w:ascii="Calibri" w:eastAsia="PMingLiU" w:hAnsi="Calibri" w:cs="Calibri"/>
          <w:color w:val="003366"/>
          <w:sz w:val="22"/>
          <w:szCs w:val="22"/>
          <w:lang w:val="en-GB" w:eastAsia="zh-TW"/>
        </w:rPr>
        <w:t xml:space="preserve"> taking on both Pilgrim and FWBS, and during the year ADERANT added Client Profiles, CRM4Legal, Rainmaker, Deadlines.com and </w:t>
      </w:r>
      <w:proofErr w:type="spellStart"/>
      <w:r w:rsidR="00374B1F" w:rsidRPr="00374B1F">
        <w:rPr>
          <w:rFonts w:ascii="Calibri" w:eastAsia="PMingLiU" w:hAnsi="Calibri" w:cs="Calibri"/>
          <w:color w:val="003366"/>
          <w:sz w:val="22"/>
          <w:szCs w:val="22"/>
          <w:lang w:val="en-GB" w:eastAsia="zh-TW"/>
        </w:rPr>
        <w:t>Compulaw</w:t>
      </w:r>
      <w:proofErr w:type="spellEnd"/>
      <w:r w:rsidR="00374B1F" w:rsidRPr="00374B1F">
        <w:rPr>
          <w:rFonts w:ascii="Calibri" w:eastAsia="PMingLiU" w:hAnsi="Calibri" w:cs="Calibri"/>
          <w:color w:val="003366"/>
          <w:sz w:val="22"/>
          <w:szCs w:val="22"/>
          <w:lang w:val="en-GB" w:eastAsia="zh-TW"/>
        </w:rPr>
        <w:t xml:space="preserve"> to the stable.</w:t>
      </w: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There have been many and varied comments blogs regarding these acquisitions, and as an small independent we’re staying well away from commentary (though catch us in the bar one evening and that might change!), but we’re certainly going to watch with interest how well these various strands pull together and how the wheat separates from the chaff.</w:t>
      </w:r>
    </w:p>
    <w:p w:rsidR="00374B1F" w:rsidRPr="00374B1F" w:rsidRDefault="00374B1F" w:rsidP="00374B1F">
      <w:pPr>
        <w:ind w:left="-360"/>
        <w:jc w:val="both"/>
        <w:rPr>
          <w:rFonts w:ascii="Calibri" w:eastAsia="PMingLiU" w:hAnsi="Calibri" w:cs="Calibri"/>
          <w:color w:val="003366"/>
          <w:sz w:val="22"/>
          <w:szCs w:val="22"/>
          <w:lang w:val="en-GB" w:eastAsia="zh-TW"/>
        </w:rPr>
      </w:pPr>
    </w:p>
    <w:p w:rsidR="00374B1F" w:rsidRPr="00374B1F" w:rsidRDefault="00374B1F" w:rsidP="00374B1F">
      <w:pPr>
        <w:ind w:left="-360"/>
        <w:jc w:val="both"/>
        <w:rPr>
          <w:rFonts w:ascii="Calibri" w:eastAsia="PMingLiU" w:hAnsi="Calibri" w:cs="Calibri"/>
          <w:color w:val="003366"/>
          <w:sz w:val="22"/>
          <w:szCs w:val="22"/>
          <w:lang w:val="en-GB" w:eastAsia="zh-TW"/>
        </w:rPr>
      </w:pPr>
      <w:proofErr w:type="gramStart"/>
      <w:r w:rsidRPr="00374B1F">
        <w:rPr>
          <w:rFonts w:ascii="Calibri" w:eastAsia="PMingLiU" w:hAnsi="Calibri" w:cs="Calibri"/>
          <w:b/>
          <w:bCs/>
          <w:color w:val="003366"/>
          <w:sz w:val="22"/>
          <w:szCs w:val="22"/>
          <w:lang w:val="en-GB" w:eastAsia="zh-TW"/>
        </w:rPr>
        <w:t>New Entries.</w:t>
      </w:r>
      <w:proofErr w:type="gramEnd"/>
      <w:r>
        <w:rPr>
          <w:rFonts w:ascii="Calibri" w:eastAsia="PMingLiU" w:hAnsi="Calibri" w:cs="Calibri"/>
          <w:b/>
          <w:bCs/>
          <w:color w:val="003366"/>
          <w:sz w:val="22"/>
          <w:szCs w:val="22"/>
          <w:lang w:val="en-GB" w:eastAsia="zh-TW"/>
        </w:rPr>
        <w:t xml:space="preserve"> </w:t>
      </w:r>
      <w:r w:rsidRPr="00374B1F">
        <w:rPr>
          <w:rFonts w:ascii="Calibri" w:eastAsia="PMingLiU" w:hAnsi="Calibri" w:cs="Calibri"/>
          <w:color w:val="003366"/>
          <w:sz w:val="22"/>
          <w:szCs w:val="22"/>
          <w:lang w:val="en-GB" w:eastAsia="zh-TW"/>
        </w:rPr>
        <w:t xml:space="preserve">We’ve also been keeping an interested eye on the relative new entries to the marketplace, particularly Peppermint Technology, Tata Consultancy Services (TCS) </w:t>
      </w:r>
      <w:proofErr w:type="gramStart"/>
      <w:r w:rsidRPr="00374B1F">
        <w:rPr>
          <w:rFonts w:ascii="Calibri" w:eastAsia="PMingLiU" w:hAnsi="Calibri" w:cs="Calibri"/>
          <w:color w:val="003366"/>
          <w:sz w:val="22"/>
          <w:szCs w:val="22"/>
          <w:lang w:val="en-GB" w:eastAsia="zh-TW"/>
        </w:rPr>
        <w:t>and  the</w:t>
      </w:r>
      <w:proofErr w:type="gramEnd"/>
      <w:r w:rsidRPr="00374B1F">
        <w:rPr>
          <w:rFonts w:ascii="Calibri" w:eastAsia="PMingLiU" w:hAnsi="Calibri" w:cs="Calibri"/>
          <w:color w:val="003366"/>
          <w:sz w:val="22"/>
          <w:szCs w:val="22"/>
          <w:lang w:val="en-GB" w:eastAsia="zh-TW"/>
        </w:rPr>
        <w:t xml:space="preserve"> LexisNexis MS-Dynamics offerings. </w:t>
      </w:r>
      <w:proofErr w:type="gramStart"/>
      <w:r w:rsidRPr="00374B1F">
        <w:rPr>
          <w:rFonts w:ascii="Calibri" w:eastAsia="PMingLiU" w:hAnsi="Calibri" w:cs="Calibri"/>
          <w:color w:val="003366"/>
          <w:sz w:val="22"/>
          <w:szCs w:val="22"/>
          <w:lang w:val="en-GB" w:eastAsia="zh-TW"/>
        </w:rPr>
        <w:t>A couple of interesting things to note here.</w:t>
      </w:r>
      <w:proofErr w:type="gramEnd"/>
      <w:r w:rsidRPr="00374B1F">
        <w:rPr>
          <w:rFonts w:ascii="Calibri" w:eastAsia="PMingLiU" w:hAnsi="Calibri" w:cs="Calibri"/>
          <w:color w:val="003366"/>
          <w:sz w:val="22"/>
          <w:szCs w:val="22"/>
          <w:lang w:val="en-GB" w:eastAsia="zh-TW"/>
        </w:rPr>
        <w:t xml:space="preserve"> </w:t>
      </w: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Firstly that these systems are all offered on existing ERP type platforms (SAP and MS-Dynamics</w:t>
      </w:r>
      <w:proofErr w:type="gramStart"/>
      <w:r w:rsidRPr="00374B1F">
        <w:rPr>
          <w:rFonts w:ascii="Calibri" w:eastAsia="PMingLiU" w:hAnsi="Calibri" w:cs="Calibri"/>
          <w:color w:val="003366"/>
          <w:sz w:val="22"/>
          <w:szCs w:val="22"/>
          <w:lang w:val="en-GB" w:eastAsia="zh-TW"/>
        </w:rPr>
        <w:t>)  which</w:t>
      </w:r>
      <w:proofErr w:type="gramEnd"/>
      <w:r w:rsidRPr="00374B1F">
        <w:rPr>
          <w:rFonts w:ascii="Calibri" w:eastAsia="PMingLiU" w:hAnsi="Calibri" w:cs="Calibri"/>
          <w:color w:val="003366"/>
          <w:sz w:val="22"/>
          <w:szCs w:val="22"/>
          <w:lang w:val="en-GB" w:eastAsia="zh-TW"/>
        </w:rPr>
        <w:t xml:space="preserve"> a very good for internationalisation and which will make Cloud offerings much easier. </w:t>
      </w: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Secondly that there is an awful lot of work required to make these more generalist systems work for legal. We think that the first to really crack the legal side of things are going to give ADERANT and Elite a run for their money—perhaps explaining the consolidation we’re seeing.</w:t>
      </w:r>
    </w:p>
    <w:p w:rsidR="00374B1F" w:rsidRPr="00374B1F" w:rsidRDefault="00374B1F" w:rsidP="00374B1F">
      <w:pPr>
        <w:ind w:left="-360"/>
        <w:jc w:val="both"/>
        <w:rPr>
          <w:rFonts w:ascii="Calibri" w:eastAsia="PMingLiU" w:hAnsi="Calibri" w:cs="Calibri"/>
          <w:color w:val="003366"/>
          <w:sz w:val="22"/>
          <w:szCs w:val="22"/>
          <w:lang w:val="en-GB" w:eastAsia="zh-TW"/>
        </w:rPr>
      </w:pPr>
    </w:p>
    <w:p w:rsidR="00374B1F" w:rsidRPr="00374B1F" w:rsidRDefault="00374B1F" w:rsidP="00374B1F">
      <w:pPr>
        <w:ind w:left="-360"/>
        <w:jc w:val="both"/>
        <w:rPr>
          <w:rFonts w:ascii="Calibri" w:eastAsia="PMingLiU" w:hAnsi="Calibri" w:cs="Calibri"/>
          <w:color w:val="003366"/>
          <w:sz w:val="22"/>
          <w:szCs w:val="22"/>
          <w:lang w:val="en-GB" w:eastAsia="zh-TW"/>
        </w:rPr>
      </w:pPr>
      <w:proofErr w:type="gramStart"/>
      <w:r w:rsidRPr="00374B1F">
        <w:rPr>
          <w:rFonts w:ascii="Calibri" w:eastAsia="PMingLiU" w:hAnsi="Calibri" w:cs="Calibri"/>
          <w:b/>
          <w:bCs/>
          <w:color w:val="003366"/>
          <w:sz w:val="22"/>
          <w:szCs w:val="22"/>
          <w:lang w:val="en-GB" w:eastAsia="zh-TW"/>
        </w:rPr>
        <w:t>The Cloud and Outsourcing.</w:t>
      </w:r>
      <w:proofErr w:type="gramEnd"/>
      <w:r>
        <w:rPr>
          <w:rFonts w:ascii="Calibri" w:eastAsia="PMingLiU" w:hAnsi="Calibri" w:cs="Calibri"/>
          <w:b/>
          <w:bCs/>
          <w:color w:val="003366"/>
          <w:sz w:val="22"/>
          <w:szCs w:val="22"/>
          <w:lang w:val="en-GB" w:eastAsia="zh-TW"/>
        </w:rPr>
        <w:t xml:space="preserve"> </w:t>
      </w:r>
      <w:r w:rsidRPr="00374B1F">
        <w:rPr>
          <w:rFonts w:ascii="Calibri" w:eastAsia="PMingLiU" w:hAnsi="Calibri" w:cs="Calibri"/>
          <w:color w:val="003366"/>
          <w:sz w:val="22"/>
          <w:szCs w:val="22"/>
          <w:lang w:val="en-GB" w:eastAsia="zh-TW"/>
        </w:rPr>
        <w:t>2011 was certainly the year that ‘The Cloud’ took off (whatever you interpret it as). Here at Saturn27 we’ve been using it for years; ask us where our Exchange and SharePoint servers are, and we’d point vaguely to mainland Europe …</w:t>
      </w:r>
      <w:r>
        <w:rPr>
          <w:rFonts w:ascii="Calibri" w:eastAsia="PMingLiU" w:hAnsi="Calibri" w:cs="Calibri"/>
          <w:color w:val="003366"/>
          <w:sz w:val="22"/>
          <w:szCs w:val="22"/>
          <w:lang w:val="en-GB" w:eastAsia="zh-TW"/>
        </w:rPr>
        <w:t xml:space="preserve"> </w:t>
      </w:r>
      <w:r w:rsidRPr="00374B1F">
        <w:rPr>
          <w:rFonts w:ascii="Calibri" w:eastAsia="PMingLiU" w:hAnsi="Calibri" w:cs="Calibri"/>
          <w:color w:val="003366"/>
          <w:sz w:val="22"/>
          <w:szCs w:val="22"/>
          <w:lang w:val="en-GB" w:eastAsia="zh-TW"/>
        </w:rPr>
        <w:t xml:space="preserve">We’ve certainly seen that </w:t>
      </w:r>
      <w:r w:rsidR="00BF4767">
        <w:rPr>
          <w:rFonts w:ascii="Calibri" w:eastAsia="PMingLiU" w:hAnsi="Calibri" w:cs="Calibri"/>
          <w:noProof/>
          <w:color w:val="003366"/>
          <w:sz w:val="22"/>
          <w:szCs w:val="22"/>
          <w:lang w:val="en-GB" w:eastAsia="en-GB" w:bidi="ar-SA"/>
        </w:rPr>
        <w:drawing>
          <wp:anchor distT="0" distB="0" distL="114300" distR="114300" simplePos="0" relativeHeight="251659264" behindDoc="1" locked="0" layoutInCell="1" allowOverlap="1">
            <wp:simplePos x="0" y="0"/>
            <wp:positionH relativeFrom="column">
              <wp:posOffset>4019550</wp:posOffset>
            </wp:positionH>
            <wp:positionV relativeFrom="paragraph">
              <wp:posOffset>345440</wp:posOffset>
            </wp:positionV>
            <wp:extent cx="1743075" cy="1162050"/>
            <wp:effectExtent l="19050" t="0" r="9525" b="0"/>
            <wp:wrapTight wrapText="bothSides">
              <wp:wrapPolygon edited="0">
                <wp:start x="-236" y="0"/>
                <wp:lineTo x="-236" y="21246"/>
                <wp:lineTo x="21718" y="21246"/>
                <wp:lineTo x="21718" y="0"/>
                <wp:lineTo x="-236" y="0"/>
              </wp:wrapPolygon>
            </wp:wrapTight>
            <wp:docPr id="4" name="Picture 3" descr="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png"/>
                    <pic:cNvPicPr/>
                  </pic:nvPicPr>
                  <pic:blipFill>
                    <a:blip r:embed="rId8" cstate="print"/>
                    <a:stretch>
                      <a:fillRect/>
                    </a:stretch>
                  </pic:blipFill>
                  <pic:spPr>
                    <a:xfrm>
                      <a:off x="0" y="0"/>
                      <a:ext cx="1743075" cy="1162050"/>
                    </a:xfrm>
                    <a:prstGeom prst="rect">
                      <a:avLst/>
                    </a:prstGeom>
                  </pic:spPr>
                </pic:pic>
              </a:graphicData>
            </a:graphic>
          </wp:anchor>
        </w:drawing>
      </w:r>
      <w:r w:rsidRPr="00374B1F">
        <w:rPr>
          <w:rFonts w:ascii="Calibri" w:eastAsia="PMingLiU" w:hAnsi="Calibri" w:cs="Calibri"/>
          <w:color w:val="003366"/>
          <w:sz w:val="22"/>
          <w:szCs w:val="22"/>
          <w:lang w:val="en-GB" w:eastAsia="zh-TW"/>
        </w:rPr>
        <w:t xml:space="preserve">the reluctance and traditional conservatism of legal firms towards data being off-site has been overtaken by the potential to eliminate overheads. </w:t>
      </w: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And the same can be said too for Outsourcing (both LPO and business support functions). Whilst we sympathise with those personally affected, we think that it’s something that is here to stay.</w:t>
      </w:r>
    </w:p>
    <w:p w:rsidR="00374B1F" w:rsidRPr="00374B1F" w:rsidRDefault="00374B1F" w:rsidP="00374B1F">
      <w:pPr>
        <w:ind w:left="-360"/>
        <w:jc w:val="both"/>
        <w:rPr>
          <w:rFonts w:ascii="Calibri" w:eastAsia="PMingLiU" w:hAnsi="Calibri" w:cs="Calibri"/>
          <w:color w:val="003366"/>
          <w:sz w:val="22"/>
          <w:szCs w:val="22"/>
          <w:lang w:val="en-GB" w:eastAsia="zh-TW"/>
        </w:rPr>
      </w:pPr>
    </w:p>
    <w:p w:rsidR="00BF4767" w:rsidRDefault="00BF4767">
      <w:pPr>
        <w:widowControl/>
        <w:overflowPunct/>
        <w:autoSpaceDE/>
        <w:autoSpaceDN/>
        <w:adjustRightInd/>
        <w:spacing w:after="200" w:line="276" w:lineRule="auto"/>
        <w:rPr>
          <w:rFonts w:ascii="Calibri" w:eastAsia="PMingLiU" w:hAnsi="Calibri" w:cs="Calibri"/>
          <w:b/>
          <w:bCs/>
          <w:color w:val="003366"/>
          <w:sz w:val="22"/>
          <w:szCs w:val="22"/>
          <w:lang w:val="en-GB" w:eastAsia="zh-TW"/>
        </w:rPr>
      </w:pPr>
      <w:r>
        <w:rPr>
          <w:rFonts w:ascii="Calibri" w:eastAsia="PMingLiU" w:hAnsi="Calibri" w:cs="Calibri"/>
          <w:b/>
          <w:bCs/>
          <w:color w:val="003366"/>
          <w:sz w:val="22"/>
          <w:szCs w:val="22"/>
          <w:lang w:val="en-GB" w:eastAsia="zh-TW"/>
        </w:rPr>
        <w:br w:type="page"/>
      </w:r>
    </w:p>
    <w:p w:rsidR="00BF4767" w:rsidRDefault="00BF4767" w:rsidP="00374B1F">
      <w:pPr>
        <w:ind w:left="-360"/>
        <w:jc w:val="both"/>
        <w:rPr>
          <w:rFonts w:ascii="Calibri" w:eastAsia="PMingLiU" w:hAnsi="Calibri" w:cs="Calibri"/>
          <w:b/>
          <w:bCs/>
          <w:color w:val="003366"/>
          <w:sz w:val="22"/>
          <w:szCs w:val="22"/>
          <w:lang w:val="en-GB" w:eastAsia="zh-TW"/>
        </w:rPr>
      </w:pPr>
    </w:p>
    <w:p w:rsidR="00BF4767" w:rsidRDefault="00BF4767" w:rsidP="00374B1F">
      <w:pPr>
        <w:ind w:left="-360"/>
        <w:jc w:val="both"/>
        <w:rPr>
          <w:rFonts w:ascii="Calibri" w:eastAsia="PMingLiU" w:hAnsi="Calibri" w:cs="Calibri"/>
          <w:b/>
          <w:bCs/>
          <w:color w:val="003366"/>
          <w:sz w:val="22"/>
          <w:szCs w:val="22"/>
          <w:lang w:val="en-GB" w:eastAsia="zh-TW"/>
        </w:rPr>
      </w:pPr>
    </w:p>
    <w:p w:rsidR="00BF4767" w:rsidRDefault="00BF4767" w:rsidP="00374B1F">
      <w:pPr>
        <w:ind w:left="-360"/>
        <w:jc w:val="both"/>
        <w:rPr>
          <w:rFonts w:ascii="Calibri" w:eastAsia="PMingLiU" w:hAnsi="Calibri" w:cs="Calibri"/>
          <w:b/>
          <w:bCs/>
          <w:color w:val="003366"/>
          <w:sz w:val="22"/>
          <w:szCs w:val="22"/>
          <w:lang w:val="en-GB" w:eastAsia="zh-TW"/>
        </w:rPr>
      </w:pP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b/>
          <w:bCs/>
          <w:color w:val="003366"/>
          <w:sz w:val="22"/>
          <w:szCs w:val="22"/>
          <w:lang w:val="en-GB" w:eastAsia="zh-TW"/>
        </w:rPr>
        <w:t>Odds ‘n’ Sods.</w:t>
      </w:r>
      <w:r>
        <w:rPr>
          <w:rFonts w:ascii="Calibri" w:eastAsia="PMingLiU" w:hAnsi="Calibri" w:cs="Calibri"/>
          <w:b/>
          <w:bCs/>
          <w:color w:val="003366"/>
          <w:sz w:val="22"/>
          <w:szCs w:val="22"/>
          <w:lang w:val="en-GB" w:eastAsia="zh-TW"/>
        </w:rPr>
        <w:t xml:space="preserve"> </w:t>
      </w:r>
      <w:r w:rsidRPr="00374B1F">
        <w:rPr>
          <w:rFonts w:ascii="Calibri" w:eastAsia="PMingLiU" w:hAnsi="Calibri" w:cs="Calibri"/>
          <w:color w:val="003366"/>
          <w:sz w:val="22"/>
          <w:szCs w:val="22"/>
          <w:lang w:val="en-GB" w:eastAsia="zh-TW"/>
        </w:rPr>
        <w:t xml:space="preserve">Yes, it’s been the year that SharePoint took off for Document Management … again! </w:t>
      </w:r>
    </w:p>
    <w:p w:rsidR="00374B1F" w:rsidRPr="00374B1F" w:rsidRDefault="00BF4767" w:rsidP="00374B1F">
      <w:pPr>
        <w:ind w:left="-360"/>
        <w:jc w:val="both"/>
        <w:rPr>
          <w:rFonts w:ascii="Calibri" w:eastAsia="PMingLiU" w:hAnsi="Calibri" w:cs="Calibri"/>
          <w:color w:val="003366"/>
          <w:sz w:val="22"/>
          <w:szCs w:val="22"/>
          <w:lang w:val="en-GB" w:eastAsia="zh-TW"/>
        </w:rPr>
      </w:pPr>
      <w:r>
        <w:rPr>
          <w:rFonts w:ascii="Calibri" w:eastAsia="PMingLiU" w:hAnsi="Calibri" w:cs="Calibri"/>
          <w:noProof/>
          <w:color w:val="003366"/>
          <w:sz w:val="22"/>
          <w:szCs w:val="22"/>
          <w:lang w:val="en-GB" w:eastAsia="en-GB" w:bidi="ar-SA"/>
        </w:rPr>
        <w:drawing>
          <wp:anchor distT="0" distB="0" distL="114300" distR="114300" simplePos="0" relativeHeight="251660288" behindDoc="1" locked="0" layoutInCell="1" allowOverlap="1">
            <wp:simplePos x="0" y="0"/>
            <wp:positionH relativeFrom="column">
              <wp:posOffset>-247650</wp:posOffset>
            </wp:positionH>
            <wp:positionV relativeFrom="paragraph">
              <wp:posOffset>403860</wp:posOffset>
            </wp:positionV>
            <wp:extent cx="1171575" cy="1638300"/>
            <wp:effectExtent l="19050" t="0" r="9525" b="0"/>
            <wp:wrapTight wrapText="bothSides">
              <wp:wrapPolygon edited="0">
                <wp:start x="-351" y="0"/>
                <wp:lineTo x="-351" y="21349"/>
                <wp:lineTo x="21776" y="21349"/>
                <wp:lineTo x="21776" y="0"/>
                <wp:lineTo x="-351" y="0"/>
              </wp:wrapPolygon>
            </wp:wrapTight>
            <wp:docPr id="5" name="Picture 4" descr="oddss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dssods.png"/>
                    <pic:cNvPicPr/>
                  </pic:nvPicPr>
                  <pic:blipFill>
                    <a:blip r:embed="rId9" cstate="print"/>
                    <a:stretch>
                      <a:fillRect/>
                    </a:stretch>
                  </pic:blipFill>
                  <pic:spPr>
                    <a:xfrm>
                      <a:off x="0" y="0"/>
                      <a:ext cx="1171575" cy="1638300"/>
                    </a:xfrm>
                    <a:prstGeom prst="rect">
                      <a:avLst/>
                    </a:prstGeom>
                  </pic:spPr>
                </pic:pic>
              </a:graphicData>
            </a:graphic>
          </wp:anchor>
        </w:drawing>
      </w:r>
      <w:r w:rsidR="00374B1F" w:rsidRPr="00374B1F">
        <w:rPr>
          <w:rFonts w:ascii="Calibri" w:eastAsia="PMingLiU" w:hAnsi="Calibri" w:cs="Calibri"/>
          <w:color w:val="003366"/>
          <w:sz w:val="22"/>
          <w:szCs w:val="22"/>
          <w:lang w:val="en-GB" w:eastAsia="zh-TW"/>
        </w:rPr>
        <w:t xml:space="preserve">Personally we’d have liked to have seen some more innovative use of SharePoint in the finance/PMS/Matter </w:t>
      </w:r>
      <w:proofErr w:type="gramStart"/>
      <w:r w:rsidR="00374B1F" w:rsidRPr="00374B1F">
        <w:rPr>
          <w:rFonts w:ascii="Calibri" w:eastAsia="PMingLiU" w:hAnsi="Calibri" w:cs="Calibri"/>
          <w:color w:val="003366"/>
          <w:sz w:val="22"/>
          <w:szCs w:val="22"/>
          <w:lang w:val="en-GB" w:eastAsia="zh-TW"/>
        </w:rPr>
        <w:t>management  area</w:t>
      </w:r>
      <w:proofErr w:type="gramEnd"/>
      <w:r w:rsidR="00374B1F" w:rsidRPr="00374B1F">
        <w:rPr>
          <w:rFonts w:ascii="Calibri" w:eastAsia="PMingLiU" w:hAnsi="Calibri" w:cs="Calibri"/>
          <w:color w:val="003366"/>
          <w:sz w:val="22"/>
          <w:szCs w:val="22"/>
          <w:lang w:val="en-GB" w:eastAsia="zh-TW"/>
        </w:rPr>
        <w:t>, as we think its possibilities are quite intriguing . To be honest with very few exceptions, 2011 has not really been a year for out of the box thinking, rather one of consolidation.  Never mind there’s always next year … Or perhaps not...</w:t>
      </w:r>
    </w:p>
    <w:p w:rsidR="00374B1F" w:rsidRPr="00374B1F" w:rsidRDefault="00374B1F" w:rsidP="00374B1F">
      <w:pPr>
        <w:ind w:left="-360"/>
        <w:jc w:val="both"/>
        <w:rPr>
          <w:rFonts w:ascii="Calibri" w:eastAsia="PMingLiU" w:hAnsi="Calibri" w:cs="Calibri"/>
          <w:color w:val="003366"/>
          <w:sz w:val="22"/>
          <w:szCs w:val="22"/>
          <w:lang w:val="en-GB" w:eastAsia="zh-TW"/>
        </w:rPr>
      </w:pP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2011 also saw many legal firms continuing to look to mergers and acquisitions, seeking to spread risk in an uncertain economy, as well as seeking to retain a tight hold on equity and manage finances. From what we’ve seen the impact of this has certainly been a re-emergent focus on financial and practice management reporting plus timely management of lock-up and other important KPIs.</w:t>
      </w:r>
    </w:p>
    <w:p w:rsidR="00374B1F" w:rsidRPr="00374B1F" w:rsidRDefault="00374B1F" w:rsidP="00374B1F">
      <w:pPr>
        <w:ind w:left="-360"/>
        <w:jc w:val="both"/>
        <w:rPr>
          <w:rFonts w:ascii="Calibri" w:eastAsia="PMingLiU" w:hAnsi="Calibri" w:cs="Calibri"/>
          <w:color w:val="003366"/>
          <w:sz w:val="22"/>
          <w:szCs w:val="22"/>
          <w:lang w:val="en-GB" w:eastAsia="zh-TW"/>
        </w:rPr>
      </w:pPr>
    </w:p>
    <w:p w:rsidR="00BF4767" w:rsidRDefault="00BF4767" w:rsidP="00374B1F">
      <w:pPr>
        <w:ind w:left="-360"/>
        <w:jc w:val="both"/>
        <w:rPr>
          <w:rFonts w:ascii="Calibri" w:eastAsia="PMingLiU" w:hAnsi="Calibri" w:cs="Calibri"/>
          <w:color w:val="003366"/>
          <w:sz w:val="22"/>
          <w:szCs w:val="22"/>
          <w:lang w:val="en-GB" w:eastAsia="zh-TW"/>
        </w:rPr>
      </w:pPr>
    </w:p>
    <w:p w:rsidR="00BF4767" w:rsidRDefault="00BF4767" w:rsidP="00374B1F">
      <w:pPr>
        <w:ind w:left="-360"/>
        <w:jc w:val="both"/>
        <w:rPr>
          <w:rFonts w:ascii="Calibri" w:eastAsia="PMingLiU" w:hAnsi="Calibri" w:cs="Calibri"/>
          <w:color w:val="003366"/>
          <w:sz w:val="22"/>
          <w:szCs w:val="22"/>
          <w:lang w:val="en-GB" w:eastAsia="zh-TW"/>
        </w:rPr>
      </w:pPr>
    </w:p>
    <w:p w:rsidR="00374B1F" w:rsidRPr="00374B1F" w:rsidRDefault="00374B1F" w:rsidP="00374B1F">
      <w:pPr>
        <w:ind w:left="-360"/>
        <w:jc w:val="both"/>
        <w:rPr>
          <w:rFonts w:ascii="Calibri" w:eastAsia="PMingLiU" w:hAnsi="Calibri" w:cs="Calibri"/>
          <w:color w:val="003366"/>
          <w:sz w:val="22"/>
          <w:szCs w:val="22"/>
          <w:lang w:val="en-GB" w:eastAsia="zh-TW"/>
        </w:rPr>
      </w:pPr>
      <w:r w:rsidRPr="00374B1F">
        <w:rPr>
          <w:rFonts w:ascii="Calibri" w:eastAsia="PMingLiU" w:hAnsi="Calibri" w:cs="Calibri"/>
          <w:color w:val="003366"/>
          <w:sz w:val="22"/>
          <w:szCs w:val="22"/>
          <w:lang w:val="en-GB" w:eastAsia="zh-TW"/>
        </w:rPr>
        <w:t>And of course in the UK we now have the Legal Services Act … Would you like fries and a leveraged buyout with that?</w:t>
      </w:r>
    </w:p>
    <w:p w:rsidR="003B47AA" w:rsidRPr="00374B1F" w:rsidRDefault="003B47AA">
      <w:pPr>
        <w:rPr>
          <w:lang w:val="en-GB"/>
        </w:rPr>
      </w:pPr>
    </w:p>
    <w:sectPr w:rsidR="003B47AA" w:rsidRPr="00374B1F" w:rsidSect="003B47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80" w:rsidRDefault="00901980" w:rsidP="00BF4767">
      <w:r>
        <w:separator/>
      </w:r>
    </w:p>
  </w:endnote>
  <w:endnote w:type="continuationSeparator" w:id="0">
    <w:p w:rsidR="00901980" w:rsidRDefault="00901980" w:rsidP="00BF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Bold">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80" w:rsidRDefault="00901980" w:rsidP="00BF4767">
      <w:r>
        <w:separator/>
      </w:r>
    </w:p>
  </w:footnote>
  <w:footnote w:type="continuationSeparator" w:id="0">
    <w:p w:rsidR="00901980" w:rsidRDefault="00901980" w:rsidP="00BF4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67" w:rsidRDefault="00BF4767">
    <w:pPr>
      <w:pStyle w:val="Header"/>
    </w:pPr>
    <w:r>
      <w:rPr>
        <w:noProof/>
        <w:lang w:val="en-GB" w:eastAsia="en-GB" w:bidi="ar-SA"/>
      </w:rPr>
      <w:drawing>
        <wp:anchor distT="0" distB="0" distL="114300" distR="114300" simplePos="0" relativeHeight="251658240" behindDoc="1" locked="0" layoutInCell="1" allowOverlap="1">
          <wp:simplePos x="0" y="0"/>
          <wp:positionH relativeFrom="column">
            <wp:posOffset>5172075</wp:posOffset>
          </wp:positionH>
          <wp:positionV relativeFrom="paragraph">
            <wp:posOffset>-190500</wp:posOffset>
          </wp:positionV>
          <wp:extent cx="906145" cy="1362075"/>
          <wp:effectExtent l="19050" t="0" r="8255" b="0"/>
          <wp:wrapNone/>
          <wp:docPr id="2" name="Picture 1" descr="look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kback.png"/>
                  <pic:cNvPicPr/>
                </pic:nvPicPr>
                <pic:blipFill>
                  <a:blip r:embed="rId1"/>
                  <a:stretch>
                    <a:fillRect/>
                  </a:stretch>
                </pic:blipFill>
                <pic:spPr>
                  <a:xfrm>
                    <a:off x="0" y="0"/>
                    <a:ext cx="906145" cy="1362075"/>
                  </a:xfrm>
                  <a:prstGeom prst="rect">
                    <a:avLst/>
                  </a:prstGeom>
                </pic:spPr>
              </pic:pic>
            </a:graphicData>
          </a:graphic>
        </wp:anchor>
      </w:drawing>
    </w:r>
    <w:r>
      <w:rPr>
        <w:noProof/>
        <w:lang w:val="en-GB" w:eastAsia="en-GB" w:bidi="ar-SA"/>
      </w:rPr>
      <w:drawing>
        <wp:inline distT="0" distB="0" distL="0" distR="0">
          <wp:extent cx="1543050" cy="638175"/>
          <wp:effectExtent l="19050" t="0" r="0" b="0"/>
          <wp:docPr id="1" name="Picture 0" descr="s27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7 logo.jpg"/>
                  <pic:cNvPicPr/>
                </pic:nvPicPr>
                <pic:blipFill>
                  <a:blip r:embed="rId2"/>
                  <a:stretch>
                    <a:fillRect/>
                  </a:stretch>
                </pic:blipFill>
                <pic:spPr>
                  <a:xfrm>
                    <a:off x="0" y="0"/>
                    <a:ext cx="1543050" cy="638175"/>
                  </a:xfrm>
                  <a:prstGeom prst="rect">
                    <a:avLst/>
                  </a:prstGeom>
                </pic:spPr>
              </pic:pic>
            </a:graphicData>
          </a:graphic>
        </wp:inline>
      </w:drawing>
    </w:r>
  </w:p>
  <w:p w:rsidR="00BF4767" w:rsidRDefault="00BF4767">
    <w:pPr>
      <w:pStyle w:val="Header"/>
    </w:pPr>
  </w:p>
  <w:p w:rsidR="00BF4767" w:rsidRDefault="00BF4767">
    <w:pPr>
      <w:pStyle w:val="Header"/>
    </w:pPr>
  </w:p>
  <w:p w:rsidR="00BF4767" w:rsidRDefault="00BF4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1F"/>
    <w:rsid w:val="00247E93"/>
    <w:rsid w:val="00267DEC"/>
    <w:rsid w:val="002C4BB5"/>
    <w:rsid w:val="00374B1F"/>
    <w:rsid w:val="003B47AA"/>
    <w:rsid w:val="00464579"/>
    <w:rsid w:val="005C6CCB"/>
    <w:rsid w:val="00642171"/>
    <w:rsid w:val="006910DB"/>
    <w:rsid w:val="00901980"/>
    <w:rsid w:val="00947D6C"/>
    <w:rsid w:val="00BF4767"/>
    <w:rsid w:val="00C445F1"/>
    <w:rsid w:val="00CB7A19"/>
    <w:rsid w:val="00CD3DCF"/>
    <w:rsid w:val="00CE0513"/>
    <w:rsid w:val="00D61B56"/>
    <w:rsid w:val="00D7258A"/>
    <w:rsid w:val="00D749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1F"/>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767"/>
    <w:pPr>
      <w:tabs>
        <w:tab w:val="center" w:pos="4680"/>
        <w:tab w:val="right" w:pos="9360"/>
      </w:tabs>
    </w:pPr>
  </w:style>
  <w:style w:type="character" w:customStyle="1" w:styleId="HeaderChar">
    <w:name w:val="Header Char"/>
    <w:basedOn w:val="DefaultParagraphFont"/>
    <w:link w:val="Header"/>
    <w:uiPriority w:val="99"/>
    <w:semiHidden/>
    <w:rsid w:val="00BF4767"/>
    <w:rPr>
      <w:rFonts w:ascii="Times New Roman" w:eastAsiaTheme="minorEastAsia" w:hAnsi="Times New Roman" w:cs="Times New Roman"/>
      <w:color w:val="000000"/>
      <w:kern w:val="28"/>
      <w:sz w:val="20"/>
      <w:szCs w:val="20"/>
    </w:rPr>
  </w:style>
  <w:style w:type="paragraph" w:styleId="Footer">
    <w:name w:val="footer"/>
    <w:basedOn w:val="Normal"/>
    <w:link w:val="FooterChar"/>
    <w:uiPriority w:val="99"/>
    <w:semiHidden/>
    <w:unhideWhenUsed/>
    <w:rsid w:val="00BF4767"/>
    <w:pPr>
      <w:tabs>
        <w:tab w:val="center" w:pos="4680"/>
        <w:tab w:val="right" w:pos="9360"/>
      </w:tabs>
    </w:pPr>
  </w:style>
  <w:style w:type="character" w:customStyle="1" w:styleId="FooterChar">
    <w:name w:val="Footer Char"/>
    <w:basedOn w:val="DefaultParagraphFont"/>
    <w:link w:val="Footer"/>
    <w:uiPriority w:val="99"/>
    <w:semiHidden/>
    <w:rsid w:val="00BF4767"/>
    <w:rPr>
      <w:rFonts w:ascii="Times New Roman" w:eastAsiaTheme="minorEastAsia" w:hAnsi="Times New Roman" w:cs="Times New Roman"/>
      <w:color w:val="000000"/>
      <w:kern w:val="28"/>
      <w:sz w:val="20"/>
      <w:szCs w:val="20"/>
    </w:rPr>
  </w:style>
  <w:style w:type="paragraph" w:styleId="BalloonText">
    <w:name w:val="Balloon Text"/>
    <w:basedOn w:val="Normal"/>
    <w:link w:val="BalloonTextChar"/>
    <w:uiPriority w:val="99"/>
    <w:semiHidden/>
    <w:unhideWhenUsed/>
    <w:rsid w:val="00BF4767"/>
    <w:rPr>
      <w:rFonts w:ascii="Tahoma" w:hAnsi="Tahoma" w:cs="Tahoma"/>
      <w:sz w:val="16"/>
      <w:szCs w:val="16"/>
    </w:rPr>
  </w:style>
  <w:style w:type="character" w:customStyle="1" w:styleId="BalloonTextChar">
    <w:name w:val="Balloon Text Char"/>
    <w:basedOn w:val="DefaultParagraphFont"/>
    <w:link w:val="BalloonText"/>
    <w:uiPriority w:val="99"/>
    <w:semiHidden/>
    <w:rsid w:val="00BF4767"/>
    <w:rPr>
      <w:rFonts w:ascii="Tahoma" w:eastAsiaTheme="minorEastAsia"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1F"/>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767"/>
    <w:pPr>
      <w:tabs>
        <w:tab w:val="center" w:pos="4680"/>
        <w:tab w:val="right" w:pos="9360"/>
      </w:tabs>
    </w:pPr>
  </w:style>
  <w:style w:type="character" w:customStyle="1" w:styleId="HeaderChar">
    <w:name w:val="Header Char"/>
    <w:basedOn w:val="DefaultParagraphFont"/>
    <w:link w:val="Header"/>
    <w:uiPriority w:val="99"/>
    <w:semiHidden/>
    <w:rsid w:val="00BF4767"/>
    <w:rPr>
      <w:rFonts w:ascii="Times New Roman" w:eastAsiaTheme="minorEastAsia" w:hAnsi="Times New Roman" w:cs="Times New Roman"/>
      <w:color w:val="000000"/>
      <w:kern w:val="28"/>
      <w:sz w:val="20"/>
      <w:szCs w:val="20"/>
    </w:rPr>
  </w:style>
  <w:style w:type="paragraph" w:styleId="Footer">
    <w:name w:val="footer"/>
    <w:basedOn w:val="Normal"/>
    <w:link w:val="FooterChar"/>
    <w:uiPriority w:val="99"/>
    <w:semiHidden/>
    <w:unhideWhenUsed/>
    <w:rsid w:val="00BF4767"/>
    <w:pPr>
      <w:tabs>
        <w:tab w:val="center" w:pos="4680"/>
        <w:tab w:val="right" w:pos="9360"/>
      </w:tabs>
    </w:pPr>
  </w:style>
  <w:style w:type="character" w:customStyle="1" w:styleId="FooterChar">
    <w:name w:val="Footer Char"/>
    <w:basedOn w:val="DefaultParagraphFont"/>
    <w:link w:val="Footer"/>
    <w:uiPriority w:val="99"/>
    <w:semiHidden/>
    <w:rsid w:val="00BF4767"/>
    <w:rPr>
      <w:rFonts w:ascii="Times New Roman" w:eastAsiaTheme="minorEastAsia" w:hAnsi="Times New Roman" w:cs="Times New Roman"/>
      <w:color w:val="000000"/>
      <w:kern w:val="28"/>
      <w:sz w:val="20"/>
      <w:szCs w:val="20"/>
    </w:rPr>
  </w:style>
  <w:style w:type="paragraph" w:styleId="BalloonText">
    <w:name w:val="Balloon Text"/>
    <w:basedOn w:val="Normal"/>
    <w:link w:val="BalloonTextChar"/>
    <w:uiPriority w:val="99"/>
    <w:semiHidden/>
    <w:unhideWhenUsed/>
    <w:rsid w:val="00BF4767"/>
    <w:rPr>
      <w:rFonts w:ascii="Tahoma" w:hAnsi="Tahoma" w:cs="Tahoma"/>
      <w:sz w:val="16"/>
      <w:szCs w:val="16"/>
    </w:rPr>
  </w:style>
  <w:style w:type="character" w:customStyle="1" w:styleId="BalloonTextChar">
    <w:name w:val="Balloon Text Char"/>
    <w:basedOn w:val="DefaultParagraphFont"/>
    <w:link w:val="BalloonText"/>
    <w:uiPriority w:val="99"/>
    <w:semiHidden/>
    <w:rsid w:val="00BF4767"/>
    <w:rPr>
      <w:rFonts w:ascii="Tahoma" w:eastAsiaTheme="minorEastAsi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Sarah</cp:lastModifiedBy>
  <cp:revision>2</cp:revision>
  <dcterms:created xsi:type="dcterms:W3CDTF">2012-01-23T12:42:00Z</dcterms:created>
  <dcterms:modified xsi:type="dcterms:W3CDTF">2012-01-23T12:42:00Z</dcterms:modified>
</cp:coreProperties>
</file>